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2959" w:rsidRPr="00B7204C" w:rsidRDefault="000D6AE9" w:rsidP="00B7204C">
      <w:pPr>
        <w:jc w:val="center"/>
        <w:rPr>
          <w:b/>
          <w:bCs/>
          <w:rtl/>
        </w:rPr>
      </w:pPr>
      <w:bookmarkStart w:id="0" w:name="_GoBack"/>
      <w:bookmarkEnd w:id="0"/>
      <w:r w:rsidRPr="00B7204C">
        <w:rPr>
          <w:b/>
          <w:bCs/>
          <w:rtl/>
        </w:rPr>
        <w:t>وزارة التعاون الإقليمي</w:t>
      </w:r>
    </w:p>
    <w:p w:rsidR="000D6AE9" w:rsidRPr="00B7204C" w:rsidRDefault="000D6AE9" w:rsidP="00B7204C">
      <w:pPr>
        <w:jc w:val="center"/>
        <w:rPr>
          <w:b/>
          <w:bCs/>
          <w:rtl/>
        </w:rPr>
      </w:pPr>
      <w:r w:rsidRPr="00B7204C">
        <w:rPr>
          <w:b/>
          <w:bCs/>
          <w:rtl/>
        </w:rPr>
        <w:t>مناقصة علنية رقم 17/99</w:t>
      </w:r>
    </w:p>
    <w:p w:rsidR="000D6AE9" w:rsidRPr="00B7204C" w:rsidRDefault="000D6AE9" w:rsidP="00B7204C">
      <w:pPr>
        <w:jc w:val="center"/>
        <w:rPr>
          <w:b/>
          <w:bCs/>
          <w:rtl/>
        </w:rPr>
      </w:pPr>
      <w:r w:rsidRPr="00B7204C">
        <w:rPr>
          <w:b/>
          <w:bCs/>
          <w:rtl/>
        </w:rPr>
        <w:t>لتلقي عروض لتقديم خدمات استشارة قانونية</w:t>
      </w:r>
    </w:p>
    <w:p w:rsidR="000D6AE9" w:rsidRPr="00B7204C" w:rsidRDefault="000D6AE9" w:rsidP="00B7204C">
      <w:pPr>
        <w:jc w:val="center"/>
        <w:rPr>
          <w:b/>
          <w:bCs/>
          <w:rtl/>
        </w:rPr>
      </w:pPr>
      <w:r w:rsidRPr="00B7204C">
        <w:rPr>
          <w:b/>
          <w:bCs/>
          <w:rtl/>
        </w:rPr>
        <w:t>في موضوع القانون الدولي</w:t>
      </w:r>
    </w:p>
    <w:p w:rsidR="000D6AE9" w:rsidRDefault="000D6AE9" w:rsidP="00F20585">
      <w:pPr>
        <w:jc w:val="right"/>
        <w:rPr>
          <w:rtl/>
        </w:rPr>
      </w:pPr>
      <w:r>
        <w:rPr>
          <w:rtl/>
        </w:rPr>
        <w:t>1. يُطلب بهذا تلقي عروض لتقديم خدمات استشارة قانونية في موضوع القانون الدولي ، لوزارة التعاون الإقليمي ( فيما يلي :</w:t>
      </w:r>
      <w:r w:rsidR="00F20585">
        <w:rPr>
          <w:rtl/>
        </w:rPr>
        <w:t>"</w:t>
      </w:r>
      <w:r>
        <w:rPr>
          <w:rtl/>
        </w:rPr>
        <w:t xml:space="preserve"> </w:t>
      </w:r>
      <w:r w:rsidRPr="00B7204C">
        <w:rPr>
          <w:b/>
          <w:bCs/>
          <w:rtl/>
        </w:rPr>
        <w:t>الوزارة</w:t>
      </w:r>
      <w:r>
        <w:rPr>
          <w:rtl/>
        </w:rPr>
        <w:t xml:space="preserve">" أو </w:t>
      </w:r>
      <w:r w:rsidRPr="00B7204C">
        <w:rPr>
          <w:b/>
          <w:bCs/>
          <w:rtl/>
        </w:rPr>
        <w:t>" صاحبة الدعوة</w:t>
      </w:r>
      <w:r>
        <w:rPr>
          <w:rtl/>
        </w:rPr>
        <w:t>").</w:t>
      </w:r>
      <w:r w:rsidR="00F20585">
        <w:rPr>
          <w:rtl/>
        </w:rPr>
        <w:t xml:space="preserve"> </w:t>
      </w:r>
    </w:p>
    <w:p w:rsidR="00A84D7F" w:rsidRDefault="00A84D7F" w:rsidP="00A84D7F">
      <w:pPr>
        <w:bidi/>
        <w:rPr>
          <w:rtl/>
        </w:rPr>
      </w:pPr>
      <w:r>
        <w:rPr>
          <w:rtl/>
        </w:rPr>
        <w:t>2. مستندات المناقصة للخدمات المطلوبة، تنشر في موقع انترنت وزارة التعاون الإقليمي بالعنوان:</w:t>
      </w:r>
      <w:r>
        <w:t xml:space="preserve">www.morc.gov.il </w:t>
      </w:r>
      <w:r>
        <w:rPr>
          <w:rtl/>
        </w:rPr>
        <w:t xml:space="preserve">  </w:t>
      </w:r>
    </w:p>
    <w:p w:rsidR="00A84D7F" w:rsidRDefault="00A84D7F" w:rsidP="00A84D7F">
      <w:pPr>
        <w:bidi/>
        <w:rPr>
          <w:rtl/>
        </w:rPr>
      </w:pPr>
      <w:r>
        <w:rPr>
          <w:rtl/>
        </w:rPr>
        <w:t xml:space="preserve">3. يوضح بهذا </w:t>
      </w:r>
      <w:r w:rsidRPr="00B7204C">
        <w:rPr>
          <w:u w:val="single"/>
          <w:rtl/>
        </w:rPr>
        <w:t>أن استخدام المستشار  القانوني الخارجي الذي يتم اختياره، يكون بالخضوع، لتخصيص الميزانية الملائمة وأيضاً للحصول على كافة التصاريح المطلوبة بهذا الموضوع، بما في ذلك تصريح لجنة استخدام المستشارين القانونيين الخارجيين في وزارة العدل</w:t>
      </w:r>
      <w:r>
        <w:rPr>
          <w:rtl/>
        </w:rPr>
        <w:t>.</w:t>
      </w:r>
      <w:r w:rsidR="006F1ABC">
        <w:rPr>
          <w:rtl/>
        </w:rPr>
        <w:t xml:space="preserve"> </w:t>
      </w:r>
    </w:p>
    <w:p w:rsidR="006F1ABC" w:rsidRDefault="006F1ABC" w:rsidP="006F1ABC">
      <w:pPr>
        <w:bidi/>
        <w:rPr>
          <w:rtl/>
        </w:rPr>
      </w:pPr>
      <w:r>
        <w:rPr>
          <w:rtl/>
        </w:rPr>
        <w:t xml:space="preserve">4. </w:t>
      </w:r>
      <w:r w:rsidRPr="00B7204C">
        <w:rPr>
          <w:b/>
          <w:bCs/>
          <w:u w:val="single"/>
          <w:rtl/>
        </w:rPr>
        <w:t>ماهية التعاقد</w:t>
      </w:r>
      <w:r>
        <w:rPr>
          <w:rtl/>
        </w:rPr>
        <w:t xml:space="preserve"> :</w:t>
      </w:r>
      <w:r>
        <w:rPr>
          <w:rtl/>
        </w:rPr>
        <w:br/>
        <w:t xml:space="preserve">التعاقد مع مقدم العرض / مقدمي العروض من أجل تقديم استشارة قانونية في موضوع القانون الدولي . </w:t>
      </w:r>
    </w:p>
    <w:p w:rsidR="006F1ABC" w:rsidRDefault="006F1ABC" w:rsidP="006F1ABC">
      <w:pPr>
        <w:bidi/>
        <w:rPr>
          <w:rtl/>
        </w:rPr>
      </w:pPr>
      <w:r>
        <w:rPr>
          <w:rtl/>
        </w:rPr>
        <w:t xml:space="preserve">5. </w:t>
      </w:r>
      <w:r w:rsidRPr="00B7204C">
        <w:rPr>
          <w:b/>
          <w:bCs/>
          <w:u w:val="single"/>
          <w:rtl/>
        </w:rPr>
        <w:t>فترة التعاقد:</w:t>
      </w:r>
    </w:p>
    <w:p w:rsidR="006F1ABC" w:rsidRDefault="006F1ABC" w:rsidP="006F1ABC">
      <w:pPr>
        <w:bidi/>
        <w:rPr>
          <w:rtl/>
        </w:rPr>
      </w:pPr>
      <w:r>
        <w:rPr>
          <w:rtl/>
        </w:rPr>
        <w:t xml:space="preserve">التعاقد بين الأطراف يكون لمدة 12 شهراً ( فيما يلي :" فترة التعاقد") ، التي تبدأ بيوم التوقيع على اتفاقية التعاقد. </w:t>
      </w:r>
    </w:p>
    <w:p w:rsidR="006F1ABC" w:rsidRDefault="006F1ABC" w:rsidP="006F1ABC">
      <w:pPr>
        <w:bidi/>
        <w:rPr>
          <w:rtl/>
        </w:rPr>
      </w:pPr>
      <w:r>
        <w:rPr>
          <w:rtl/>
        </w:rPr>
        <w:t xml:space="preserve">يحفظ الحق للوزارة بتمديد فترة التعاقد بـ- 4 فترات إضافية سنة واحدة أو جزء منها، كمقابل تقديم الخدمات أو جزء منها، وفقاً لتقديراتها الحصرية والمطلقة  حسب المفصل في الاتفاقية وبالخضوع لمصادقة لجنة المناقصات ولتقييدات الميزانية في نفس الوقت. </w:t>
      </w:r>
    </w:p>
    <w:p w:rsidR="004D2D86" w:rsidRDefault="004D2D86" w:rsidP="004D2D86">
      <w:pPr>
        <w:bidi/>
        <w:rPr>
          <w:rtl/>
        </w:rPr>
      </w:pPr>
      <w:r>
        <w:rPr>
          <w:rtl/>
        </w:rPr>
        <w:t>6</w:t>
      </w:r>
      <w:r w:rsidRPr="00B7204C">
        <w:rPr>
          <w:b/>
          <w:bCs/>
          <w:u w:val="single"/>
          <w:rtl/>
        </w:rPr>
        <w:t>. شروط حد أدنى مهنية</w:t>
      </w:r>
      <w:r>
        <w:rPr>
          <w:rtl/>
        </w:rPr>
        <w:t xml:space="preserve"> :</w:t>
      </w:r>
    </w:p>
    <w:p w:rsidR="00AF43F3" w:rsidRDefault="004D2D86" w:rsidP="004D2D86">
      <w:pPr>
        <w:bidi/>
        <w:rPr>
          <w:rtl/>
        </w:rPr>
      </w:pPr>
      <w:r>
        <w:rPr>
          <w:rtl/>
        </w:rPr>
        <w:t>يجب على المستشار</w:t>
      </w:r>
      <w:r w:rsidR="00AF43F3">
        <w:rPr>
          <w:rtl/>
        </w:rPr>
        <w:t xml:space="preserve"> المقترح من قبل مقدم العرض استيفاء كافة الطلبات التالية بشكل مجتمع: </w:t>
      </w:r>
    </w:p>
    <w:p w:rsidR="00AF43F3" w:rsidRDefault="00AF43F3" w:rsidP="00AF43F3">
      <w:pPr>
        <w:bidi/>
        <w:rPr>
          <w:rtl/>
        </w:rPr>
      </w:pPr>
      <w:r>
        <w:rPr>
          <w:rtl/>
        </w:rPr>
        <w:t>أ. مرخص للعمل في المحاماة في إسرائيل .</w:t>
      </w:r>
    </w:p>
    <w:p w:rsidR="00AF43F3" w:rsidRDefault="00AF43F3" w:rsidP="00AF43F3">
      <w:pPr>
        <w:bidi/>
        <w:rPr>
          <w:rtl/>
        </w:rPr>
      </w:pPr>
      <w:r>
        <w:rPr>
          <w:rtl/>
        </w:rPr>
        <w:t xml:space="preserve">ب. عضو في نقابة المحامين في إسرائيل في العام 2017 . </w:t>
      </w:r>
    </w:p>
    <w:p w:rsidR="00EA7450" w:rsidRDefault="00EA7450" w:rsidP="00144635">
      <w:pPr>
        <w:bidi/>
        <w:rPr>
          <w:rtl/>
        </w:rPr>
      </w:pPr>
      <w:r>
        <w:rPr>
          <w:rtl/>
        </w:rPr>
        <w:t xml:space="preserve">ج. عضوية المستشار القانوني في نقابة المحامين في إسرائيل لم تلغى، لم تنتهي مدتها، لم تعلق وليست مقيدة </w:t>
      </w:r>
      <w:r w:rsidR="00144635">
        <w:rPr>
          <w:rtl/>
        </w:rPr>
        <w:t xml:space="preserve">، ولم يدان بمخالفات انضباط. </w:t>
      </w:r>
    </w:p>
    <w:p w:rsidR="00113309" w:rsidRDefault="00144635" w:rsidP="00144635">
      <w:pPr>
        <w:bidi/>
        <w:rPr>
          <w:rtl/>
        </w:rPr>
      </w:pPr>
      <w:r>
        <w:rPr>
          <w:rtl/>
        </w:rPr>
        <w:t>د. صاحب تجربة مسبقة ومثبتة 5 سنوات على الأقل، بتقديم الاستشارة القانونية في موضوع القانون الدولي العلني .</w:t>
      </w:r>
    </w:p>
    <w:p w:rsidR="009B0AE0" w:rsidRDefault="00113309" w:rsidP="00113309">
      <w:pPr>
        <w:bidi/>
        <w:rPr>
          <w:rtl/>
        </w:rPr>
      </w:pPr>
      <w:r>
        <w:rPr>
          <w:rtl/>
        </w:rPr>
        <w:t xml:space="preserve">هـ. لغة إنجليزية بمستوى لغة الأم. </w:t>
      </w:r>
      <w:r w:rsidR="009B0AE0">
        <w:rPr>
          <w:rtl/>
        </w:rPr>
        <w:t xml:space="preserve"> </w:t>
      </w:r>
    </w:p>
    <w:p w:rsidR="00144635" w:rsidRDefault="009B0AE0" w:rsidP="009B0AE0">
      <w:pPr>
        <w:bidi/>
        <w:rPr>
          <w:rtl/>
        </w:rPr>
      </w:pPr>
      <w:r>
        <w:rPr>
          <w:rtl/>
        </w:rPr>
        <w:t xml:space="preserve">و. عدم وجود تضارب مصالح بين الخدمات المطلوبة في نطاق المناقصة وبين باقي أعمال المستشار وشؤونه . </w:t>
      </w:r>
    </w:p>
    <w:p w:rsidR="009B0AE0" w:rsidRDefault="009B0AE0" w:rsidP="009B0AE0">
      <w:pPr>
        <w:bidi/>
        <w:rPr>
          <w:rtl/>
        </w:rPr>
      </w:pPr>
      <w:r>
        <w:rPr>
          <w:rtl/>
        </w:rPr>
        <w:t>باقي شروط المناقصة منشورة في مستندات المناقصة .</w:t>
      </w:r>
    </w:p>
    <w:p w:rsidR="009B0AE0" w:rsidRDefault="009B0AE0" w:rsidP="009B0AE0">
      <w:pPr>
        <w:bidi/>
        <w:rPr>
          <w:rtl/>
        </w:rPr>
      </w:pPr>
      <w:r>
        <w:rPr>
          <w:rtl/>
        </w:rPr>
        <w:t xml:space="preserve">7. في المناقصة يتم فحص بمرحلتين . لذلك، يقدم </w:t>
      </w:r>
      <w:r w:rsidRPr="00B7204C">
        <w:rPr>
          <w:b/>
          <w:bCs/>
          <w:rtl/>
        </w:rPr>
        <w:t>عرض السعر</w:t>
      </w:r>
      <w:r>
        <w:rPr>
          <w:rtl/>
        </w:rPr>
        <w:t xml:space="preserve"> في </w:t>
      </w:r>
      <w:r w:rsidRPr="00B7204C">
        <w:rPr>
          <w:b/>
          <w:bCs/>
          <w:rtl/>
        </w:rPr>
        <w:t>مغلف مغلق</w:t>
      </w:r>
      <w:r>
        <w:rPr>
          <w:rtl/>
        </w:rPr>
        <w:t xml:space="preserve"> ومنفرد عن باقي أجزاء العرض الأخرى.</w:t>
      </w:r>
      <w:r w:rsidR="008A0CC6">
        <w:rPr>
          <w:rtl/>
        </w:rPr>
        <w:t xml:space="preserve"> </w:t>
      </w:r>
    </w:p>
    <w:p w:rsidR="008A0CC6" w:rsidRDefault="008A0CC6" w:rsidP="008A0CC6">
      <w:pPr>
        <w:bidi/>
        <w:rPr>
          <w:rtl/>
        </w:rPr>
      </w:pPr>
      <w:r>
        <w:rPr>
          <w:rtl/>
        </w:rPr>
        <w:t xml:space="preserve">8. يمكن تقديم أسئلة استفسارية </w:t>
      </w:r>
      <w:r w:rsidRPr="00B7204C">
        <w:rPr>
          <w:u w:val="single"/>
          <w:rtl/>
        </w:rPr>
        <w:t>خطياً فقط</w:t>
      </w:r>
      <w:r>
        <w:rPr>
          <w:rtl/>
        </w:rPr>
        <w:t xml:space="preserve"> عبر البريد الالكتروني للسيد عوديد فيكسلر: </w:t>
      </w:r>
      <w:hyperlink r:id="rId7" w:history="1">
        <w:r w:rsidRPr="00E23966">
          <w:rPr>
            <w:rStyle w:val="Hyperlink"/>
          </w:rPr>
          <w:t>odedfi@morc.gov.il</w:t>
        </w:r>
      </w:hyperlink>
      <w:r>
        <w:t xml:space="preserve"> </w:t>
      </w:r>
      <w:r>
        <w:rPr>
          <w:rtl/>
        </w:rPr>
        <w:t xml:space="preserve"> ، بموجب للمخطط المفصل في مستندات المناقصة، حتى موعد أقصاه تاريخ </w:t>
      </w:r>
      <w:r w:rsidRPr="00B7204C">
        <w:rPr>
          <w:b/>
          <w:bCs/>
          <w:rtl/>
        </w:rPr>
        <w:t xml:space="preserve">16.10.2017 </w:t>
      </w:r>
      <w:r>
        <w:rPr>
          <w:rtl/>
        </w:rPr>
        <w:t xml:space="preserve">، </w:t>
      </w:r>
      <w:r w:rsidRPr="00B7204C">
        <w:rPr>
          <w:b/>
          <w:bCs/>
          <w:rtl/>
        </w:rPr>
        <w:t>الساعة 12:00 .</w:t>
      </w:r>
      <w:r w:rsidR="00845D3D">
        <w:rPr>
          <w:rtl/>
        </w:rPr>
        <w:t xml:space="preserve"> </w:t>
      </w:r>
    </w:p>
    <w:p w:rsidR="00845D3D" w:rsidRDefault="00845D3D" w:rsidP="00845D3D">
      <w:pPr>
        <w:bidi/>
        <w:rPr>
          <w:rtl/>
        </w:rPr>
      </w:pPr>
      <w:r>
        <w:rPr>
          <w:rtl/>
        </w:rPr>
        <w:t xml:space="preserve">9. الموعد الأخير لتقديم العروض لصندوق المناقصات ( الطابق 12، في العنوان: سدروت شاؤول الملك 8، تل أبيب) ، هو تاريخ </w:t>
      </w:r>
      <w:r w:rsidRPr="00B7204C">
        <w:rPr>
          <w:b/>
          <w:bCs/>
          <w:rtl/>
        </w:rPr>
        <w:t>30.102017</w:t>
      </w:r>
      <w:r>
        <w:rPr>
          <w:rtl/>
        </w:rPr>
        <w:t xml:space="preserve"> ، </w:t>
      </w:r>
      <w:r w:rsidRPr="00B7204C">
        <w:rPr>
          <w:b/>
          <w:bCs/>
          <w:rtl/>
        </w:rPr>
        <w:t xml:space="preserve">الساعة 12:00 </w:t>
      </w:r>
      <w:r>
        <w:rPr>
          <w:rtl/>
        </w:rPr>
        <w:t xml:space="preserve">. العرض المقدم بعد هذا الموعد ، لن يبحث فيه أمام لجن المناقصات. </w:t>
      </w:r>
      <w:r w:rsidR="005F14CD">
        <w:rPr>
          <w:rtl/>
        </w:rPr>
        <w:t xml:space="preserve"> </w:t>
      </w:r>
    </w:p>
    <w:p w:rsidR="005F14CD" w:rsidRDefault="005F14CD" w:rsidP="005F14CD">
      <w:pPr>
        <w:bidi/>
        <w:rPr>
          <w:rtl/>
        </w:rPr>
      </w:pPr>
      <w:r>
        <w:rPr>
          <w:rtl/>
        </w:rPr>
        <w:t xml:space="preserve">10. معايير اختيار العرض الفائز وباقي شروط المناقصة موجودة في مستندات المناقصة. </w:t>
      </w:r>
    </w:p>
    <w:p w:rsidR="00BC3942" w:rsidRDefault="00BC3942" w:rsidP="00BC3942">
      <w:pPr>
        <w:bidi/>
        <w:rPr>
          <w:rtl/>
        </w:rPr>
      </w:pPr>
      <w:r>
        <w:rPr>
          <w:rtl/>
        </w:rPr>
        <w:t>11. في أية حالة لوجود تناقض بين تعليمات هذا الإعلان وبين تعليمات الموجودة في المناقصة،  تعليمات المناقصة هي الملزمة.</w:t>
      </w:r>
      <w:r w:rsidR="00EE6695">
        <w:rPr>
          <w:rtl/>
        </w:rPr>
        <w:t xml:space="preserve"> </w:t>
      </w:r>
    </w:p>
    <w:p w:rsidR="00EE6695" w:rsidRDefault="00EE6695" w:rsidP="00EE6695">
      <w:pPr>
        <w:bidi/>
        <w:rPr>
          <w:rtl/>
        </w:rPr>
      </w:pPr>
      <w:r>
        <w:rPr>
          <w:rtl/>
        </w:rPr>
        <w:t xml:space="preserve">لجنة المناقصات </w:t>
      </w:r>
    </w:p>
    <w:p w:rsidR="00EE6695" w:rsidRDefault="00EE6695" w:rsidP="00EE6695">
      <w:pPr>
        <w:bidi/>
        <w:rPr>
          <w:rtl/>
        </w:rPr>
      </w:pPr>
      <w:r>
        <w:rPr>
          <w:rtl/>
        </w:rPr>
        <w:t xml:space="preserve">وزارة تطوير الضواحي، النقب والجليل </w:t>
      </w:r>
    </w:p>
    <w:p w:rsidR="00EE6695" w:rsidRPr="00BC3942" w:rsidRDefault="00EE6695" w:rsidP="00EE6695">
      <w:pPr>
        <w:bidi/>
        <w:rPr>
          <w:rtl/>
        </w:rPr>
      </w:pPr>
    </w:p>
    <w:p w:rsidR="005F14CD" w:rsidRPr="008A0CC6" w:rsidRDefault="005F14CD" w:rsidP="005F14CD">
      <w:pPr>
        <w:bidi/>
        <w:rPr>
          <w:rtl/>
        </w:rPr>
      </w:pPr>
    </w:p>
    <w:p w:rsidR="004D2D86" w:rsidRPr="00A84D7F" w:rsidRDefault="00AF43F3" w:rsidP="00AF43F3">
      <w:pPr>
        <w:bidi/>
        <w:rPr>
          <w:rtl/>
        </w:rPr>
      </w:pPr>
      <w:r>
        <w:rPr>
          <w:rtl/>
        </w:rPr>
        <w:t xml:space="preserve"> </w:t>
      </w:r>
    </w:p>
    <w:sectPr w:rsidR="004D2D86" w:rsidRPr="00A84D7F">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04B6" w:rsidRDefault="00DA04B6" w:rsidP="00C27764">
      <w:r>
        <w:separator/>
      </w:r>
    </w:p>
  </w:endnote>
  <w:endnote w:type="continuationSeparator" w:id="0">
    <w:p w:rsidR="00DA04B6" w:rsidRDefault="00DA04B6" w:rsidP="00C277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04B6" w:rsidRDefault="00DA04B6" w:rsidP="00C27764">
      <w:r>
        <w:separator/>
      </w:r>
    </w:p>
  </w:footnote>
  <w:footnote w:type="continuationSeparator" w:id="0">
    <w:p w:rsidR="00DA04B6" w:rsidRDefault="00DA04B6" w:rsidP="00C277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C44E03"/>
    <w:multiLevelType w:val="hybridMultilevel"/>
    <w:tmpl w:val="D83E67D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210F05CB"/>
    <w:multiLevelType w:val="hybridMultilevel"/>
    <w:tmpl w:val="388CB73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277029CD"/>
    <w:multiLevelType w:val="hybridMultilevel"/>
    <w:tmpl w:val="C4AC9044"/>
    <w:lvl w:ilvl="0" w:tplc="C98EEEDA">
      <w:start w:val="1"/>
      <w:numFmt w:val="decimal"/>
      <w:lvlText w:val="%1."/>
      <w:lvlJc w:val="left"/>
      <w:pPr>
        <w:ind w:left="5490" w:hanging="513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2E5538AE"/>
    <w:multiLevelType w:val="hybridMultilevel"/>
    <w:tmpl w:val="2F7E6056"/>
    <w:lvl w:ilvl="0" w:tplc="C6089E52">
      <w:start w:val="1"/>
      <w:numFmt w:val="arabicAlpha"/>
      <w:lvlText w:val="%1."/>
      <w:lvlJc w:val="left"/>
      <w:pPr>
        <w:tabs>
          <w:tab w:val="num" w:pos="1170"/>
        </w:tabs>
        <w:ind w:left="1170" w:hanging="360"/>
      </w:pPr>
      <w:rPr>
        <w:rFonts w:cs="Times New Roman" w:hint="default"/>
        <w:sz w:val="2"/>
        <w:szCs w:val="24"/>
      </w:rPr>
    </w:lvl>
    <w:lvl w:ilvl="1" w:tplc="04090019" w:tentative="1">
      <w:start w:val="1"/>
      <w:numFmt w:val="lowerLetter"/>
      <w:lvlText w:val="%2."/>
      <w:lvlJc w:val="left"/>
      <w:pPr>
        <w:tabs>
          <w:tab w:val="num" w:pos="1890"/>
        </w:tabs>
        <w:ind w:left="1890" w:hanging="360"/>
      </w:pPr>
      <w:rPr>
        <w:rFonts w:cs="Times New Roman"/>
      </w:rPr>
    </w:lvl>
    <w:lvl w:ilvl="2" w:tplc="0409001B" w:tentative="1">
      <w:start w:val="1"/>
      <w:numFmt w:val="lowerRoman"/>
      <w:lvlText w:val="%3."/>
      <w:lvlJc w:val="right"/>
      <w:pPr>
        <w:tabs>
          <w:tab w:val="num" w:pos="2610"/>
        </w:tabs>
        <w:ind w:left="2610" w:hanging="180"/>
      </w:pPr>
      <w:rPr>
        <w:rFonts w:cs="Times New Roman"/>
      </w:rPr>
    </w:lvl>
    <w:lvl w:ilvl="3" w:tplc="0409000F" w:tentative="1">
      <w:start w:val="1"/>
      <w:numFmt w:val="decimal"/>
      <w:lvlText w:val="%4."/>
      <w:lvlJc w:val="left"/>
      <w:pPr>
        <w:tabs>
          <w:tab w:val="num" w:pos="3330"/>
        </w:tabs>
        <w:ind w:left="3330" w:hanging="360"/>
      </w:pPr>
      <w:rPr>
        <w:rFonts w:cs="Times New Roman"/>
      </w:rPr>
    </w:lvl>
    <w:lvl w:ilvl="4" w:tplc="04090019" w:tentative="1">
      <w:start w:val="1"/>
      <w:numFmt w:val="lowerLetter"/>
      <w:lvlText w:val="%5."/>
      <w:lvlJc w:val="left"/>
      <w:pPr>
        <w:tabs>
          <w:tab w:val="num" w:pos="4050"/>
        </w:tabs>
        <w:ind w:left="4050" w:hanging="360"/>
      </w:pPr>
      <w:rPr>
        <w:rFonts w:cs="Times New Roman"/>
      </w:rPr>
    </w:lvl>
    <w:lvl w:ilvl="5" w:tplc="0409001B" w:tentative="1">
      <w:start w:val="1"/>
      <w:numFmt w:val="lowerRoman"/>
      <w:lvlText w:val="%6."/>
      <w:lvlJc w:val="right"/>
      <w:pPr>
        <w:tabs>
          <w:tab w:val="num" w:pos="4770"/>
        </w:tabs>
        <w:ind w:left="4770" w:hanging="180"/>
      </w:pPr>
      <w:rPr>
        <w:rFonts w:cs="Times New Roman"/>
      </w:rPr>
    </w:lvl>
    <w:lvl w:ilvl="6" w:tplc="0409000F" w:tentative="1">
      <w:start w:val="1"/>
      <w:numFmt w:val="decimal"/>
      <w:lvlText w:val="%7."/>
      <w:lvlJc w:val="left"/>
      <w:pPr>
        <w:tabs>
          <w:tab w:val="num" w:pos="5490"/>
        </w:tabs>
        <w:ind w:left="5490" w:hanging="360"/>
      </w:pPr>
      <w:rPr>
        <w:rFonts w:cs="Times New Roman"/>
      </w:rPr>
    </w:lvl>
    <w:lvl w:ilvl="7" w:tplc="04090019" w:tentative="1">
      <w:start w:val="1"/>
      <w:numFmt w:val="lowerLetter"/>
      <w:lvlText w:val="%8."/>
      <w:lvlJc w:val="left"/>
      <w:pPr>
        <w:tabs>
          <w:tab w:val="num" w:pos="6210"/>
        </w:tabs>
        <w:ind w:left="6210" w:hanging="360"/>
      </w:pPr>
      <w:rPr>
        <w:rFonts w:cs="Times New Roman"/>
      </w:rPr>
    </w:lvl>
    <w:lvl w:ilvl="8" w:tplc="0409001B" w:tentative="1">
      <w:start w:val="1"/>
      <w:numFmt w:val="lowerRoman"/>
      <w:lvlText w:val="%9."/>
      <w:lvlJc w:val="right"/>
      <w:pPr>
        <w:tabs>
          <w:tab w:val="num" w:pos="6930"/>
        </w:tabs>
        <w:ind w:left="6930" w:hanging="180"/>
      </w:pPr>
      <w:rPr>
        <w:rFonts w:cs="Times New Roman"/>
      </w:rPr>
    </w:lvl>
  </w:abstractNum>
  <w:abstractNum w:abstractNumId="4" w15:restartNumberingAfterBreak="0">
    <w:nsid w:val="539B392C"/>
    <w:multiLevelType w:val="hybridMultilevel"/>
    <w:tmpl w:val="BFD868E2"/>
    <w:lvl w:ilvl="0" w:tplc="98A44DEC">
      <w:start w:val="1"/>
      <w:numFmt w:val="arabicAlpha"/>
      <w:lvlText w:val="%1."/>
      <w:lvlJc w:val="left"/>
      <w:pPr>
        <w:ind w:left="1080" w:hanging="360"/>
      </w:pPr>
      <w:rPr>
        <w:rFonts w:cs="Times New Roman" w:hint="default"/>
        <w:sz w:val="28"/>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15:restartNumberingAfterBreak="0">
    <w:nsid w:val="59655165"/>
    <w:multiLevelType w:val="hybridMultilevel"/>
    <w:tmpl w:val="F8FC8F22"/>
    <w:lvl w:ilvl="0" w:tplc="B066D88C">
      <w:start w:val="1"/>
      <w:numFmt w:val="arabicAlpha"/>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5B7727DD"/>
    <w:multiLevelType w:val="hybridMultilevel"/>
    <w:tmpl w:val="AC9EC100"/>
    <w:lvl w:ilvl="0" w:tplc="AE208E04">
      <w:start w:val="1"/>
      <w:numFmt w:val="decimal"/>
      <w:lvlText w:val="%1."/>
      <w:lvlJc w:val="left"/>
      <w:pPr>
        <w:ind w:left="8295" w:hanging="5055"/>
      </w:pPr>
      <w:rPr>
        <w:rFonts w:cs="Times New Roman" w:hint="default"/>
      </w:rPr>
    </w:lvl>
    <w:lvl w:ilvl="1" w:tplc="04090019" w:tentative="1">
      <w:start w:val="1"/>
      <w:numFmt w:val="lowerLetter"/>
      <w:lvlText w:val="%2."/>
      <w:lvlJc w:val="left"/>
      <w:pPr>
        <w:ind w:left="4320" w:hanging="360"/>
      </w:pPr>
      <w:rPr>
        <w:rFonts w:cs="Times New Roman"/>
      </w:rPr>
    </w:lvl>
    <w:lvl w:ilvl="2" w:tplc="0409001B" w:tentative="1">
      <w:start w:val="1"/>
      <w:numFmt w:val="lowerRoman"/>
      <w:lvlText w:val="%3."/>
      <w:lvlJc w:val="right"/>
      <w:pPr>
        <w:ind w:left="5040" w:hanging="180"/>
      </w:pPr>
      <w:rPr>
        <w:rFonts w:cs="Times New Roman"/>
      </w:rPr>
    </w:lvl>
    <w:lvl w:ilvl="3" w:tplc="0409000F" w:tentative="1">
      <w:start w:val="1"/>
      <w:numFmt w:val="decimal"/>
      <w:lvlText w:val="%4."/>
      <w:lvlJc w:val="left"/>
      <w:pPr>
        <w:ind w:left="5760" w:hanging="360"/>
      </w:pPr>
      <w:rPr>
        <w:rFonts w:cs="Times New Roman"/>
      </w:rPr>
    </w:lvl>
    <w:lvl w:ilvl="4" w:tplc="04090019" w:tentative="1">
      <w:start w:val="1"/>
      <w:numFmt w:val="lowerLetter"/>
      <w:lvlText w:val="%5."/>
      <w:lvlJc w:val="left"/>
      <w:pPr>
        <w:ind w:left="6480" w:hanging="360"/>
      </w:pPr>
      <w:rPr>
        <w:rFonts w:cs="Times New Roman"/>
      </w:rPr>
    </w:lvl>
    <w:lvl w:ilvl="5" w:tplc="0409001B" w:tentative="1">
      <w:start w:val="1"/>
      <w:numFmt w:val="lowerRoman"/>
      <w:lvlText w:val="%6."/>
      <w:lvlJc w:val="right"/>
      <w:pPr>
        <w:ind w:left="7200" w:hanging="180"/>
      </w:pPr>
      <w:rPr>
        <w:rFonts w:cs="Times New Roman"/>
      </w:rPr>
    </w:lvl>
    <w:lvl w:ilvl="6" w:tplc="0409000F" w:tentative="1">
      <w:start w:val="1"/>
      <w:numFmt w:val="decimal"/>
      <w:lvlText w:val="%7."/>
      <w:lvlJc w:val="left"/>
      <w:pPr>
        <w:ind w:left="7920" w:hanging="360"/>
      </w:pPr>
      <w:rPr>
        <w:rFonts w:cs="Times New Roman"/>
      </w:rPr>
    </w:lvl>
    <w:lvl w:ilvl="7" w:tplc="04090019" w:tentative="1">
      <w:start w:val="1"/>
      <w:numFmt w:val="lowerLetter"/>
      <w:lvlText w:val="%8."/>
      <w:lvlJc w:val="left"/>
      <w:pPr>
        <w:ind w:left="8640" w:hanging="360"/>
      </w:pPr>
      <w:rPr>
        <w:rFonts w:cs="Times New Roman"/>
      </w:rPr>
    </w:lvl>
    <w:lvl w:ilvl="8" w:tplc="0409001B" w:tentative="1">
      <w:start w:val="1"/>
      <w:numFmt w:val="lowerRoman"/>
      <w:lvlText w:val="%9."/>
      <w:lvlJc w:val="right"/>
      <w:pPr>
        <w:ind w:left="9360" w:hanging="180"/>
      </w:pPr>
      <w:rPr>
        <w:rFonts w:cs="Times New Roman"/>
      </w:rPr>
    </w:lvl>
  </w:abstractNum>
  <w:abstractNum w:abstractNumId="7" w15:restartNumberingAfterBreak="0">
    <w:nsid w:val="5FB45478"/>
    <w:multiLevelType w:val="hybridMultilevel"/>
    <w:tmpl w:val="5A20FC00"/>
    <w:lvl w:ilvl="0" w:tplc="D336751E">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8" w15:restartNumberingAfterBreak="0">
    <w:nsid w:val="602D6471"/>
    <w:multiLevelType w:val="hybridMultilevel"/>
    <w:tmpl w:val="988A629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67D76B7C"/>
    <w:multiLevelType w:val="hybridMultilevel"/>
    <w:tmpl w:val="0AE2C49E"/>
    <w:lvl w:ilvl="0" w:tplc="6E26116E">
      <w:start w:val="1"/>
      <w:numFmt w:val="decimal"/>
      <w:lvlText w:val="%1."/>
      <w:lvlJc w:val="left"/>
      <w:pPr>
        <w:ind w:left="7620" w:hanging="72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5"/>
  </w:num>
  <w:num w:numId="2">
    <w:abstractNumId w:val="3"/>
  </w:num>
  <w:num w:numId="3">
    <w:abstractNumId w:val="9"/>
  </w:num>
  <w:num w:numId="4">
    <w:abstractNumId w:val="6"/>
  </w:num>
  <w:num w:numId="5">
    <w:abstractNumId w:val="2"/>
  </w:num>
  <w:num w:numId="6">
    <w:abstractNumId w:val="8"/>
  </w:num>
  <w:num w:numId="7">
    <w:abstractNumId w:val="1"/>
  </w:num>
  <w:num w:numId="8">
    <w:abstractNumId w:val="0"/>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680"/>
    <w:rsid w:val="00001B26"/>
    <w:rsid w:val="000020ED"/>
    <w:rsid w:val="00005B8F"/>
    <w:rsid w:val="00035FFA"/>
    <w:rsid w:val="00036D2F"/>
    <w:rsid w:val="000548E3"/>
    <w:rsid w:val="0005682F"/>
    <w:rsid w:val="00061C44"/>
    <w:rsid w:val="00086F47"/>
    <w:rsid w:val="000940A2"/>
    <w:rsid w:val="000A28EB"/>
    <w:rsid w:val="000A53A0"/>
    <w:rsid w:val="000A6E0A"/>
    <w:rsid w:val="000B61D1"/>
    <w:rsid w:val="000B7750"/>
    <w:rsid w:val="000C33F3"/>
    <w:rsid w:val="000C7E5B"/>
    <w:rsid w:val="000D1B11"/>
    <w:rsid w:val="000D1CD5"/>
    <w:rsid w:val="000D2743"/>
    <w:rsid w:val="000D32F1"/>
    <w:rsid w:val="000D6AE9"/>
    <w:rsid w:val="000D7599"/>
    <w:rsid w:val="000F7CB9"/>
    <w:rsid w:val="00113309"/>
    <w:rsid w:val="00133C56"/>
    <w:rsid w:val="001352AB"/>
    <w:rsid w:val="00140A95"/>
    <w:rsid w:val="001426D4"/>
    <w:rsid w:val="00144635"/>
    <w:rsid w:val="00153345"/>
    <w:rsid w:val="001547E7"/>
    <w:rsid w:val="001618E0"/>
    <w:rsid w:val="001647AC"/>
    <w:rsid w:val="00171AFE"/>
    <w:rsid w:val="00172DD5"/>
    <w:rsid w:val="001A1BF5"/>
    <w:rsid w:val="001A4391"/>
    <w:rsid w:val="001A5032"/>
    <w:rsid w:val="001B54D0"/>
    <w:rsid w:val="001C0E7C"/>
    <w:rsid w:val="001C3573"/>
    <w:rsid w:val="001D23F7"/>
    <w:rsid w:val="001D2633"/>
    <w:rsid w:val="001D6B35"/>
    <w:rsid w:val="001F5C54"/>
    <w:rsid w:val="002006D1"/>
    <w:rsid w:val="00205E6C"/>
    <w:rsid w:val="0021693D"/>
    <w:rsid w:val="00220122"/>
    <w:rsid w:val="00220F24"/>
    <w:rsid w:val="00237E19"/>
    <w:rsid w:val="00246C1F"/>
    <w:rsid w:val="00247C30"/>
    <w:rsid w:val="00247D80"/>
    <w:rsid w:val="0026515A"/>
    <w:rsid w:val="002655ED"/>
    <w:rsid w:val="002763AE"/>
    <w:rsid w:val="0027738C"/>
    <w:rsid w:val="00285E61"/>
    <w:rsid w:val="002861FD"/>
    <w:rsid w:val="00286B6C"/>
    <w:rsid w:val="002870CE"/>
    <w:rsid w:val="002964FC"/>
    <w:rsid w:val="002A74B2"/>
    <w:rsid w:val="002B6A91"/>
    <w:rsid w:val="002B79AC"/>
    <w:rsid w:val="002C4707"/>
    <w:rsid w:val="002C7BC7"/>
    <w:rsid w:val="002D2162"/>
    <w:rsid w:val="002D3CA1"/>
    <w:rsid w:val="002E65EA"/>
    <w:rsid w:val="002F6287"/>
    <w:rsid w:val="00304EAA"/>
    <w:rsid w:val="00320136"/>
    <w:rsid w:val="003263A9"/>
    <w:rsid w:val="00353EC8"/>
    <w:rsid w:val="003611F2"/>
    <w:rsid w:val="00371B4C"/>
    <w:rsid w:val="0037619A"/>
    <w:rsid w:val="003769BE"/>
    <w:rsid w:val="003B15A5"/>
    <w:rsid w:val="003B39ED"/>
    <w:rsid w:val="003B5861"/>
    <w:rsid w:val="003C06A2"/>
    <w:rsid w:val="003C65A1"/>
    <w:rsid w:val="003D3672"/>
    <w:rsid w:val="003D3F56"/>
    <w:rsid w:val="003E6559"/>
    <w:rsid w:val="003F4857"/>
    <w:rsid w:val="003F5FF7"/>
    <w:rsid w:val="004030B9"/>
    <w:rsid w:val="004153CB"/>
    <w:rsid w:val="00415A14"/>
    <w:rsid w:val="00424799"/>
    <w:rsid w:val="00426074"/>
    <w:rsid w:val="00427B22"/>
    <w:rsid w:val="004406ED"/>
    <w:rsid w:val="00441D7E"/>
    <w:rsid w:val="004617B8"/>
    <w:rsid w:val="00462650"/>
    <w:rsid w:val="00466753"/>
    <w:rsid w:val="0047393D"/>
    <w:rsid w:val="00477750"/>
    <w:rsid w:val="00480493"/>
    <w:rsid w:val="00480C3C"/>
    <w:rsid w:val="004A1DAF"/>
    <w:rsid w:val="004A6E17"/>
    <w:rsid w:val="004B53E8"/>
    <w:rsid w:val="004C07D4"/>
    <w:rsid w:val="004C2948"/>
    <w:rsid w:val="004D2D86"/>
    <w:rsid w:val="004D5AE1"/>
    <w:rsid w:val="004E7ED4"/>
    <w:rsid w:val="0050291F"/>
    <w:rsid w:val="005114E9"/>
    <w:rsid w:val="00511678"/>
    <w:rsid w:val="00513CBE"/>
    <w:rsid w:val="0051596B"/>
    <w:rsid w:val="0052310E"/>
    <w:rsid w:val="0052502E"/>
    <w:rsid w:val="0052689E"/>
    <w:rsid w:val="0053365B"/>
    <w:rsid w:val="0053391F"/>
    <w:rsid w:val="005342BD"/>
    <w:rsid w:val="0053650E"/>
    <w:rsid w:val="00542AB4"/>
    <w:rsid w:val="005564BE"/>
    <w:rsid w:val="0057270D"/>
    <w:rsid w:val="005757F1"/>
    <w:rsid w:val="00576B06"/>
    <w:rsid w:val="0058089A"/>
    <w:rsid w:val="00586D50"/>
    <w:rsid w:val="00590D37"/>
    <w:rsid w:val="00592AAB"/>
    <w:rsid w:val="005A14E3"/>
    <w:rsid w:val="005A2F11"/>
    <w:rsid w:val="005C0A91"/>
    <w:rsid w:val="005C74FE"/>
    <w:rsid w:val="005C7B64"/>
    <w:rsid w:val="005D00FB"/>
    <w:rsid w:val="005D1905"/>
    <w:rsid w:val="005D1C0E"/>
    <w:rsid w:val="005E4391"/>
    <w:rsid w:val="005E7F75"/>
    <w:rsid w:val="005F14CD"/>
    <w:rsid w:val="005F486C"/>
    <w:rsid w:val="005F57DC"/>
    <w:rsid w:val="006008BB"/>
    <w:rsid w:val="00606C82"/>
    <w:rsid w:val="00607C47"/>
    <w:rsid w:val="00614460"/>
    <w:rsid w:val="00614462"/>
    <w:rsid w:val="0061672F"/>
    <w:rsid w:val="0062259F"/>
    <w:rsid w:val="006245CA"/>
    <w:rsid w:val="00624ACC"/>
    <w:rsid w:val="00647A31"/>
    <w:rsid w:val="006510AF"/>
    <w:rsid w:val="00653976"/>
    <w:rsid w:val="00661B19"/>
    <w:rsid w:val="006624A0"/>
    <w:rsid w:val="00665BC6"/>
    <w:rsid w:val="00680EEB"/>
    <w:rsid w:val="00682091"/>
    <w:rsid w:val="00683161"/>
    <w:rsid w:val="00687B42"/>
    <w:rsid w:val="00690692"/>
    <w:rsid w:val="006944A2"/>
    <w:rsid w:val="00695B82"/>
    <w:rsid w:val="006A3C89"/>
    <w:rsid w:val="006B7384"/>
    <w:rsid w:val="006C17CB"/>
    <w:rsid w:val="006C3D62"/>
    <w:rsid w:val="006D3680"/>
    <w:rsid w:val="006E6C45"/>
    <w:rsid w:val="006E7A1A"/>
    <w:rsid w:val="006F1ABC"/>
    <w:rsid w:val="0070591C"/>
    <w:rsid w:val="0072159D"/>
    <w:rsid w:val="0072535C"/>
    <w:rsid w:val="00725927"/>
    <w:rsid w:val="0073094A"/>
    <w:rsid w:val="00731437"/>
    <w:rsid w:val="00733A60"/>
    <w:rsid w:val="00737724"/>
    <w:rsid w:val="00742EC9"/>
    <w:rsid w:val="00744EBE"/>
    <w:rsid w:val="00752EEC"/>
    <w:rsid w:val="007550C9"/>
    <w:rsid w:val="007578A8"/>
    <w:rsid w:val="00783738"/>
    <w:rsid w:val="007974A7"/>
    <w:rsid w:val="007A0287"/>
    <w:rsid w:val="007A67FF"/>
    <w:rsid w:val="007B4B77"/>
    <w:rsid w:val="007C5600"/>
    <w:rsid w:val="007C56BB"/>
    <w:rsid w:val="007C68C4"/>
    <w:rsid w:val="007C695C"/>
    <w:rsid w:val="007D12BA"/>
    <w:rsid w:val="007D5AD6"/>
    <w:rsid w:val="007F1A0B"/>
    <w:rsid w:val="007F208B"/>
    <w:rsid w:val="007F73D2"/>
    <w:rsid w:val="00801B01"/>
    <w:rsid w:val="00815D60"/>
    <w:rsid w:val="00816105"/>
    <w:rsid w:val="00817268"/>
    <w:rsid w:val="00817B27"/>
    <w:rsid w:val="008239F9"/>
    <w:rsid w:val="008278C8"/>
    <w:rsid w:val="00832828"/>
    <w:rsid w:val="00835721"/>
    <w:rsid w:val="00835D0F"/>
    <w:rsid w:val="008364E9"/>
    <w:rsid w:val="00844BD4"/>
    <w:rsid w:val="00845D3D"/>
    <w:rsid w:val="0085094F"/>
    <w:rsid w:val="00851A9F"/>
    <w:rsid w:val="008575B1"/>
    <w:rsid w:val="00861FBF"/>
    <w:rsid w:val="0086352C"/>
    <w:rsid w:val="00863ECE"/>
    <w:rsid w:val="00863FFF"/>
    <w:rsid w:val="0087353D"/>
    <w:rsid w:val="00875409"/>
    <w:rsid w:val="008811DE"/>
    <w:rsid w:val="008848A7"/>
    <w:rsid w:val="00890837"/>
    <w:rsid w:val="00896F00"/>
    <w:rsid w:val="008A0CC6"/>
    <w:rsid w:val="008B1A8C"/>
    <w:rsid w:val="008B59FC"/>
    <w:rsid w:val="008B66C8"/>
    <w:rsid w:val="008C053C"/>
    <w:rsid w:val="008C4EF5"/>
    <w:rsid w:val="008D473C"/>
    <w:rsid w:val="008E0524"/>
    <w:rsid w:val="008E254F"/>
    <w:rsid w:val="008E4120"/>
    <w:rsid w:val="008E7184"/>
    <w:rsid w:val="008F0A3A"/>
    <w:rsid w:val="008F0FF5"/>
    <w:rsid w:val="008F52F6"/>
    <w:rsid w:val="00902501"/>
    <w:rsid w:val="00905E4C"/>
    <w:rsid w:val="00906E63"/>
    <w:rsid w:val="00913355"/>
    <w:rsid w:val="00917631"/>
    <w:rsid w:val="009218BA"/>
    <w:rsid w:val="00930378"/>
    <w:rsid w:val="009308F9"/>
    <w:rsid w:val="0093408B"/>
    <w:rsid w:val="0093544F"/>
    <w:rsid w:val="00940C1F"/>
    <w:rsid w:val="009541F9"/>
    <w:rsid w:val="00954924"/>
    <w:rsid w:val="00954A2E"/>
    <w:rsid w:val="00963E6D"/>
    <w:rsid w:val="00990761"/>
    <w:rsid w:val="0099239F"/>
    <w:rsid w:val="009970D8"/>
    <w:rsid w:val="009A39CF"/>
    <w:rsid w:val="009A6A9D"/>
    <w:rsid w:val="009A7DC3"/>
    <w:rsid w:val="009B0AE0"/>
    <w:rsid w:val="009B2D32"/>
    <w:rsid w:val="009B47DB"/>
    <w:rsid w:val="009C62D8"/>
    <w:rsid w:val="009C6DC3"/>
    <w:rsid w:val="009D71C5"/>
    <w:rsid w:val="009E708E"/>
    <w:rsid w:val="00A02EB1"/>
    <w:rsid w:val="00A04CFE"/>
    <w:rsid w:val="00A1304A"/>
    <w:rsid w:val="00A1471E"/>
    <w:rsid w:val="00A27F28"/>
    <w:rsid w:val="00A3013A"/>
    <w:rsid w:val="00A321C7"/>
    <w:rsid w:val="00A37D4F"/>
    <w:rsid w:val="00A52959"/>
    <w:rsid w:val="00A544C9"/>
    <w:rsid w:val="00A56B4B"/>
    <w:rsid w:val="00A6798E"/>
    <w:rsid w:val="00A84D7F"/>
    <w:rsid w:val="00AA2072"/>
    <w:rsid w:val="00AB15FF"/>
    <w:rsid w:val="00AB6CC2"/>
    <w:rsid w:val="00AC4983"/>
    <w:rsid w:val="00AC6EE5"/>
    <w:rsid w:val="00AD0F36"/>
    <w:rsid w:val="00AD1AB7"/>
    <w:rsid w:val="00AD260F"/>
    <w:rsid w:val="00AD4EBD"/>
    <w:rsid w:val="00AD746B"/>
    <w:rsid w:val="00AE1885"/>
    <w:rsid w:val="00AE3BB0"/>
    <w:rsid w:val="00AE7209"/>
    <w:rsid w:val="00AE7FC3"/>
    <w:rsid w:val="00AF0F1E"/>
    <w:rsid w:val="00AF3755"/>
    <w:rsid w:val="00AF43F3"/>
    <w:rsid w:val="00AF543C"/>
    <w:rsid w:val="00B0076F"/>
    <w:rsid w:val="00B0294E"/>
    <w:rsid w:val="00B0643B"/>
    <w:rsid w:val="00B11967"/>
    <w:rsid w:val="00B15D16"/>
    <w:rsid w:val="00B21D50"/>
    <w:rsid w:val="00B243D2"/>
    <w:rsid w:val="00B30B8A"/>
    <w:rsid w:val="00B47ADB"/>
    <w:rsid w:val="00B54066"/>
    <w:rsid w:val="00B5730A"/>
    <w:rsid w:val="00B713F6"/>
    <w:rsid w:val="00B7204C"/>
    <w:rsid w:val="00B76CEE"/>
    <w:rsid w:val="00B776A1"/>
    <w:rsid w:val="00B807C2"/>
    <w:rsid w:val="00B8139F"/>
    <w:rsid w:val="00B83F0B"/>
    <w:rsid w:val="00B867BF"/>
    <w:rsid w:val="00B8798C"/>
    <w:rsid w:val="00B90045"/>
    <w:rsid w:val="00B9136C"/>
    <w:rsid w:val="00BA02D1"/>
    <w:rsid w:val="00BB014E"/>
    <w:rsid w:val="00BB184E"/>
    <w:rsid w:val="00BB6B4C"/>
    <w:rsid w:val="00BC3942"/>
    <w:rsid w:val="00BC51BE"/>
    <w:rsid w:val="00BC5715"/>
    <w:rsid w:val="00BE09E1"/>
    <w:rsid w:val="00BE4596"/>
    <w:rsid w:val="00BF5439"/>
    <w:rsid w:val="00BF6F35"/>
    <w:rsid w:val="00C1004B"/>
    <w:rsid w:val="00C1181D"/>
    <w:rsid w:val="00C11CD4"/>
    <w:rsid w:val="00C274EB"/>
    <w:rsid w:val="00C27764"/>
    <w:rsid w:val="00C27EFD"/>
    <w:rsid w:val="00C30CF9"/>
    <w:rsid w:val="00C36084"/>
    <w:rsid w:val="00C374A7"/>
    <w:rsid w:val="00C50A53"/>
    <w:rsid w:val="00C51FC4"/>
    <w:rsid w:val="00C53132"/>
    <w:rsid w:val="00C53489"/>
    <w:rsid w:val="00C562EE"/>
    <w:rsid w:val="00C62E5D"/>
    <w:rsid w:val="00C63104"/>
    <w:rsid w:val="00C657DD"/>
    <w:rsid w:val="00C7230B"/>
    <w:rsid w:val="00C72E2C"/>
    <w:rsid w:val="00C75BB4"/>
    <w:rsid w:val="00C77BE7"/>
    <w:rsid w:val="00C90480"/>
    <w:rsid w:val="00C90B62"/>
    <w:rsid w:val="00C93A0D"/>
    <w:rsid w:val="00C95012"/>
    <w:rsid w:val="00C9556C"/>
    <w:rsid w:val="00C97D9B"/>
    <w:rsid w:val="00CA2B91"/>
    <w:rsid w:val="00CB4C8C"/>
    <w:rsid w:val="00CB5387"/>
    <w:rsid w:val="00CC2034"/>
    <w:rsid w:val="00CC3CC9"/>
    <w:rsid w:val="00CC7BF3"/>
    <w:rsid w:val="00CD6C3B"/>
    <w:rsid w:val="00CD7E59"/>
    <w:rsid w:val="00CE0BD7"/>
    <w:rsid w:val="00CF33BC"/>
    <w:rsid w:val="00CF7F04"/>
    <w:rsid w:val="00D10A29"/>
    <w:rsid w:val="00D14526"/>
    <w:rsid w:val="00D17EF1"/>
    <w:rsid w:val="00D24EFD"/>
    <w:rsid w:val="00D35D20"/>
    <w:rsid w:val="00D37FDE"/>
    <w:rsid w:val="00D4381D"/>
    <w:rsid w:val="00D441E7"/>
    <w:rsid w:val="00D449D7"/>
    <w:rsid w:val="00D601D4"/>
    <w:rsid w:val="00D60A36"/>
    <w:rsid w:val="00D6707F"/>
    <w:rsid w:val="00D709D4"/>
    <w:rsid w:val="00D742F5"/>
    <w:rsid w:val="00D84CC9"/>
    <w:rsid w:val="00D85D2D"/>
    <w:rsid w:val="00D90838"/>
    <w:rsid w:val="00D90A4F"/>
    <w:rsid w:val="00DA01D3"/>
    <w:rsid w:val="00DA04B6"/>
    <w:rsid w:val="00DA4CA0"/>
    <w:rsid w:val="00DA61C3"/>
    <w:rsid w:val="00DB0888"/>
    <w:rsid w:val="00DB2C58"/>
    <w:rsid w:val="00DC49D1"/>
    <w:rsid w:val="00DD2B6F"/>
    <w:rsid w:val="00DD340B"/>
    <w:rsid w:val="00DD39F1"/>
    <w:rsid w:val="00DE134B"/>
    <w:rsid w:val="00DE2EAD"/>
    <w:rsid w:val="00DF38C4"/>
    <w:rsid w:val="00DF78ED"/>
    <w:rsid w:val="00E109D3"/>
    <w:rsid w:val="00E124A0"/>
    <w:rsid w:val="00E17BC2"/>
    <w:rsid w:val="00E23966"/>
    <w:rsid w:val="00E25DE9"/>
    <w:rsid w:val="00E27D61"/>
    <w:rsid w:val="00E4141C"/>
    <w:rsid w:val="00E422B2"/>
    <w:rsid w:val="00E42C44"/>
    <w:rsid w:val="00E47AFA"/>
    <w:rsid w:val="00E51602"/>
    <w:rsid w:val="00E52E7A"/>
    <w:rsid w:val="00E55305"/>
    <w:rsid w:val="00E606BC"/>
    <w:rsid w:val="00E625A9"/>
    <w:rsid w:val="00E73942"/>
    <w:rsid w:val="00E76386"/>
    <w:rsid w:val="00E7708A"/>
    <w:rsid w:val="00E83129"/>
    <w:rsid w:val="00E92439"/>
    <w:rsid w:val="00E96B5B"/>
    <w:rsid w:val="00EA108B"/>
    <w:rsid w:val="00EA7450"/>
    <w:rsid w:val="00EA74C1"/>
    <w:rsid w:val="00EB1879"/>
    <w:rsid w:val="00EB3ADA"/>
    <w:rsid w:val="00EC32F9"/>
    <w:rsid w:val="00ED4C5B"/>
    <w:rsid w:val="00ED660C"/>
    <w:rsid w:val="00EE44CB"/>
    <w:rsid w:val="00EE6695"/>
    <w:rsid w:val="00EE726B"/>
    <w:rsid w:val="00EF5D19"/>
    <w:rsid w:val="00EF74F5"/>
    <w:rsid w:val="00EF7ABC"/>
    <w:rsid w:val="00F028A1"/>
    <w:rsid w:val="00F032E2"/>
    <w:rsid w:val="00F11FF1"/>
    <w:rsid w:val="00F12534"/>
    <w:rsid w:val="00F12C57"/>
    <w:rsid w:val="00F146C7"/>
    <w:rsid w:val="00F20585"/>
    <w:rsid w:val="00F427A0"/>
    <w:rsid w:val="00F43ED7"/>
    <w:rsid w:val="00F45A87"/>
    <w:rsid w:val="00F511F6"/>
    <w:rsid w:val="00F638E6"/>
    <w:rsid w:val="00F733DB"/>
    <w:rsid w:val="00F7426C"/>
    <w:rsid w:val="00F74DEA"/>
    <w:rsid w:val="00F778E8"/>
    <w:rsid w:val="00F830DA"/>
    <w:rsid w:val="00F915FF"/>
    <w:rsid w:val="00F96240"/>
    <w:rsid w:val="00FA11D5"/>
    <w:rsid w:val="00FA727F"/>
    <w:rsid w:val="00FB2B34"/>
    <w:rsid w:val="00FB3908"/>
    <w:rsid w:val="00FB70D9"/>
    <w:rsid w:val="00FB760B"/>
    <w:rsid w:val="00FD1174"/>
    <w:rsid w:val="00FD56E6"/>
    <w:rsid w:val="00FE24D0"/>
    <w:rsid w:val="00FE4574"/>
    <w:rsid w:val="00FE66B6"/>
    <w:rsid w:val="00FE77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CBAA33E-82A5-486A-AC75-73758B5D5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4C5B"/>
    <w:rPr>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6D3680"/>
    <w:rPr>
      <w:rFonts w:cs="Times New Roman"/>
      <w:color w:val="0000FF"/>
      <w:u w:val="single"/>
    </w:rPr>
  </w:style>
  <w:style w:type="table" w:styleId="a3">
    <w:name w:val="Table Grid"/>
    <w:basedOn w:val="a1"/>
    <w:uiPriority w:val="59"/>
    <w:rsid w:val="00E52E7A"/>
    <w:rPr>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header"/>
    <w:basedOn w:val="a"/>
    <w:link w:val="a5"/>
    <w:uiPriority w:val="99"/>
    <w:rsid w:val="00C27764"/>
    <w:pPr>
      <w:tabs>
        <w:tab w:val="center" w:pos="4320"/>
        <w:tab w:val="right" w:pos="8640"/>
      </w:tabs>
    </w:pPr>
  </w:style>
  <w:style w:type="paragraph" w:styleId="a6">
    <w:name w:val="footer"/>
    <w:basedOn w:val="a"/>
    <w:link w:val="a7"/>
    <w:uiPriority w:val="99"/>
    <w:rsid w:val="00C27764"/>
    <w:pPr>
      <w:tabs>
        <w:tab w:val="center" w:pos="4320"/>
        <w:tab w:val="right" w:pos="8640"/>
      </w:tabs>
    </w:pPr>
  </w:style>
  <w:style w:type="character" w:customStyle="1" w:styleId="a5">
    <w:name w:val="כותרת עליונה תו"/>
    <w:basedOn w:val="a0"/>
    <w:link w:val="a4"/>
    <w:uiPriority w:val="99"/>
    <w:locked/>
    <w:rsid w:val="00C27764"/>
    <w:rPr>
      <w:rFonts w:cs="Times New Roman"/>
      <w:sz w:val="24"/>
      <w:szCs w:val="24"/>
    </w:rPr>
  </w:style>
  <w:style w:type="character" w:customStyle="1" w:styleId="a7">
    <w:name w:val="כותרת תחתונה תו"/>
    <w:basedOn w:val="a0"/>
    <w:link w:val="a6"/>
    <w:uiPriority w:val="99"/>
    <w:locked/>
    <w:rsid w:val="00C27764"/>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7306045">
      <w:marLeft w:val="0"/>
      <w:marRight w:val="0"/>
      <w:marTop w:val="0"/>
      <w:marBottom w:val="0"/>
      <w:divBdr>
        <w:top w:val="none" w:sz="0" w:space="0" w:color="auto"/>
        <w:left w:val="none" w:sz="0" w:space="0" w:color="auto"/>
        <w:bottom w:val="none" w:sz="0" w:space="0" w:color="auto"/>
        <w:right w:val="none" w:sz="0" w:space="0" w:color="auto"/>
      </w:divBdr>
    </w:div>
    <w:div w:id="887306046">
      <w:marLeft w:val="0"/>
      <w:marRight w:val="0"/>
      <w:marTop w:val="0"/>
      <w:marBottom w:val="0"/>
      <w:divBdr>
        <w:top w:val="none" w:sz="0" w:space="0" w:color="auto"/>
        <w:left w:val="none" w:sz="0" w:space="0" w:color="auto"/>
        <w:bottom w:val="none" w:sz="0" w:space="0" w:color="auto"/>
        <w:right w:val="none" w:sz="0" w:space="0" w:color="auto"/>
      </w:divBdr>
    </w:div>
    <w:div w:id="887306047">
      <w:marLeft w:val="0"/>
      <w:marRight w:val="0"/>
      <w:marTop w:val="0"/>
      <w:marBottom w:val="0"/>
      <w:divBdr>
        <w:top w:val="none" w:sz="0" w:space="0" w:color="auto"/>
        <w:left w:val="none" w:sz="0" w:space="0" w:color="auto"/>
        <w:bottom w:val="none" w:sz="0" w:space="0" w:color="auto"/>
        <w:right w:val="none" w:sz="0" w:space="0" w:color="auto"/>
      </w:divBdr>
    </w:div>
    <w:div w:id="887306048">
      <w:marLeft w:val="0"/>
      <w:marRight w:val="0"/>
      <w:marTop w:val="0"/>
      <w:marBottom w:val="0"/>
      <w:divBdr>
        <w:top w:val="none" w:sz="0" w:space="0" w:color="auto"/>
        <w:left w:val="none" w:sz="0" w:space="0" w:color="auto"/>
        <w:bottom w:val="none" w:sz="0" w:space="0" w:color="auto"/>
        <w:right w:val="none" w:sz="0" w:space="0" w:color="auto"/>
      </w:divBdr>
    </w:div>
    <w:div w:id="887306049">
      <w:marLeft w:val="0"/>
      <w:marRight w:val="0"/>
      <w:marTop w:val="0"/>
      <w:marBottom w:val="0"/>
      <w:divBdr>
        <w:top w:val="none" w:sz="0" w:space="0" w:color="auto"/>
        <w:left w:val="none" w:sz="0" w:space="0" w:color="auto"/>
        <w:bottom w:val="none" w:sz="0" w:space="0" w:color="auto"/>
        <w:right w:val="none" w:sz="0" w:space="0" w:color="auto"/>
      </w:divBdr>
    </w:div>
    <w:div w:id="887306050">
      <w:marLeft w:val="0"/>
      <w:marRight w:val="0"/>
      <w:marTop w:val="0"/>
      <w:marBottom w:val="0"/>
      <w:divBdr>
        <w:top w:val="none" w:sz="0" w:space="0" w:color="auto"/>
        <w:left w:val="none" w:sz="0" w:space="0" w:color="auto"/>
        <w:bottom w:val="none" w:sz="0" w:space="0" w:color="auto"/>
        <w:right w:val="none" w:sz="0" w:space="0" w:color="auto"/>
      </w:divBdr>
    </w:div>
    <w:div w:id="887306051">
      <w:marLeft w:val="0"/>
      <w:marRight w:val="0"/>
      <w:marTop w:val="0"/>
      <w:marBottom w:val="0"/>
      <w:divBdr>
        <w:top w:val="none" w:sz="0" w:space="0" w:color="auto"/>
        <w:left w:val="none" w:sz="0" w:space="0" w:color="auto"/>
        <w:bottom w:val="none" w:sz="0" w:space="0" w:color="auto"/>
        <w:right w:val="none" w:sz="0" w:space="0" w:color="auto"/>
      </w:divBdr>
    </w:div>
    <w:div w:id="887306052">
      <w:marLeft w:val="0"/>
      <w:marRight w:val="0"/>
      <w:marTop w:val="0"/>
      <w:marBottom w:val="0"/>
      <w:divBdr>
        <w:top w:val="none" w:sz="0" w:space="0" w:color="auto"/>
        <w:left w:val="none" w:sz="0" w:space="0" w:color="auto"/>
        <w:bottom w:val="none" w:sz="0" w:space="0" w:color="auto"/>
        <w:right w:val="none" w:sz="0" w:space="0" w:color="auto"/>
      </w:divBdr>
    </w:div>
    <w:div w:id="887306053">
      <w:marLeft w:val="0"/>
      <w:marRight w:val="0"/>
      <w:marTop w:val="0"/>
      <w:marBottom w:val="0"/>
      <w:divBdr>
        <w:top w:val="none" w:sz="0" w:space="0" w:color="auto"/>
        <w:left w:val="none" w:sz="0" w:space="0" w:color="auto"/>
        <w:bottom w:val="none" w:sz="0" w:space="0" w:color="auto"/>
        <w:right w:val="none" w:sz="0" w:space="0" w:color="auto"/>
      </w:divBdr>
    </w:div>
    <w:div w:id="887306054">
      <w:marLeft w:val="0"/>
      <w:marRight w:val="0"/>
      <w:marTop w:val="0"/>
      <w:marBottom w:val="0"/>
      <w:divBdr>
        <w:top w:val="none" w:sz="0" w:space="0" w:color="auto"/>
        <w:left w:val="none" w:sz="0" w:space="0" w:color="auto"/>
        <w:bottom w:val="none" w:sz="0" w:space="0" w:color="auto"/>
        <w:right w:val="none" w:sz="0" w:space="0" w:color="auto"/>
      </w:divBdr>
    </w:div>
    <w:div w:id="887306055">
      <w:marLeft w:val="0"/>
      <w:marRight w:val="0"/>
      <w:marTop w:val="0"/>
      <w:marBottom w:val="0"/>
      <w:divBdr>
        <w:top w:val="none" w:sz="0" w:space="0" w:color="auto"/>
        <w:left w:val="none" w:sz="0" w:space="0" w:color="auto"/>
        <w:bottom w:val="none" w:sz="0" w:space="0" w:color="auto"/>
        <w:right w:val="none" w:sz="0" w:space="0" w:color="auto"/>
      </w:divBdr>
    </w:div>
    <w:div w:id="887306056">
      <w:marLeft w:val="0"/>
      <w:marRight w:val="0"/>
      <w:marTop w:val="0"/>
      <w:marBottom w:val="0"/>
      <w:divBdr>
        <w:top w:val="none" w:sz="0" w:space="0" w:color="auto"/>
        <w:left w:val="none" w:sz="0" w:space="0" w:color="auto"/>
        <w:bottom w:val="none" w:sz="0" w:space="0" w:color="auto"/>
        <w:right w:val="none" w:sz="0" w:space="0" w:color="auto"/>
      </w:divBdr>
    </w:div>
    <w:div w:id="887306057">
      <w:marLeft w:val="0"/>
      <w:marRight w:val="0"/>
      <w:marTop w:val="0"/>
      <w:marBottom w:val="0"/>
      <w:divBdr>
        <w:top w:val="none" w:sz="0" w:space="0" w:color="auto"/>
        <w:left w:val="none" w:sz="0" w:space="0" w:color="auto"/>
        <w:bottom w:val="none" w:sz="0" w:space="0" w:color="auto"/>
        <w:right w:val="none" w:sz="0" w:space="0" w:color="auto"/>
      </w:divBdr>
    </w:div>
    <w:div w:id="887306058">
      <w:marLeft w:val="0"/>
      <w:marRight w:val="0"/>
      <w:marTop w:val="0"/>
      <w:marBottom w:val="0"/>
      <w:divBdr>
        <w:top w:val="none" w:sz="0" w:space="0" w:color="auto"/>
        <w:left w:val="none" w:sz="0" w:space="0" w:color="auto"/>
        <w:bottom w:val="none" w:sz="0" w:space="0" w:color="auto"/>
        <w:right w:val="none" w:sz="0" w:space="0" w:color="auto"/>
      </w:divBdr>
    </w:div>
    <w:div w:id="887306059">
      <w:marLeft w:val="0"/>
      <w:marRight w:val="0"/>
      <w:marTop w:val="0"/>
      <w:marBottom w:val="0"/>
      <w:divBdr>
        <w:top w:val="none" w:sz="0" w:space="0" w:color="auto"/>
        <w:left w:val="none" w:sz="0" w:space="0" w:color="auto"/>
        <w:bottom w:val="none" w:sz="0" w:space="0" w:color="auto"/>
        <w:right w:val="none" w:sz="0" w:space="0" w:color="auto"/>
      </w:divBdr>
    </w:div>
    <w:div w:id="887306060">
      <w:marLeft w:val="0"/>
      <w:marRight w:val="0"/>
      <w:marTop w:val="0"/>
      <w:marBottom w:val="0"/>
      <w:divBdr>
        <w:top w:val="none" w:sz="0" w:space="0" w:color="auto"/>
        <w:left w:val="none" w:sz="0" w:space="0" w:color="auto"/>
        <w:bottom w:val="none" w:sz="0" w:space="0" w:color="auto"/>
        <w:right w:val="none" w:sz="0" w:space="0" w:color="auto"/>
      </w:divBdr>
    </w:div>
    <w:div w:id="887306061">
      <w:marLeft w:val="0"/>
      <w:marRight w:val="0"/>
      <w:marTop w:val="0"/>
      <w:marBottom w:val="0"/>
      <w:divBdr>
        <w:top w:val="none" w:sz="0" w:space="0" w:color="auto"/>
        <w:left w:val="none" w:sz="0" w:space="0" w:color="auto"/>
        <w:bottom w:val="none" w:sz="0" w:space="0" w:color="auto"/>
        <w:right w:val="none" w:sz="0" w:space="0" w:color="auto"/>
      </w:divBdr>
    </w:div>
    <w:div w:id="887306062">
      <w:marLeft w:val="0"/>
      <w:marRight w:val="0"/>
      <w:marTop w:val="0"/>
      <w:marBottom w:val="0"/>
      <w:divBdr>
        <w:top w:val="none" w:sz="0" w:space="0" w:color="auto"/>
        <w:left w:val="none" w:sz="0" w:space="0" w:color="auto"/>
        <w:bottom w:val="none" w:sz="0" w:space="0" w:color="auto"/>
        <w:right w:val="none" w:sz="0" w:space="0" w:color="auto"/>
      </w:divBdr>
    </w:div>
    <w:div w:id="887306063">
      <w:marLeft w:val="0"/>
      <w:marRight w:val="0"/>
      <w:marTop w:val="0"/>
      <w:marBottom w:val="0"/>
      <w:divBdr>
        <w:top w:val="none" w:sz="0" w:space="0" w:color="auto"/>
        <w:left w:val="none" w:sz="0" w:space="0" w:color="auto"/>
        <w:bottom w:val="none" w:sz="0" w:space="0" w:color="auto"/>
        <w:right w:val="none" w:sz="0" w:space="0" w:color="auto"/>
      </w:divBdr>
    </w:div>
    <w:div w:id="887306064">
      <w:marLeft w:val="0"/>
      <w:marRight w:val="0"/>
      <w:marTop w:val="0"/>
      <w:marBottom w:val="0"/>
      <w:divBdr>
        <w:top w:val="none" w:sz="0" w:space="0" w:color="auto"/>
        <w:left w:val="none" w:sz="0" w:space="0" w:color="auto"/>
        <w:bottom w:val="none" w:sz="0" w:space="0" w:color="auto"/>
        <w:right w:val="none" w:sz="0" w:space="0" w:color="auto"/>
      </w:divBdr>
    </w:div>
    <w:div w:id="887306065">
      <w:marLeft w:val="0"/>
      <w:marRight w:val="0"/>
      <w:marTop w:val="0"/>
      <w:marBottom w:val="0"/>
      <w:divBdr>
        <w:top w:val="none" w:sz="0" w:space="0" w:color="auto"/>
        <w:left w:val="none" w:sz="0" w:space="0" w:color="auto"/>
        <w:bottom w:val="none" w:sz="0" w:space="0" w:color="auto"/>
        <w:right w:val="none" w:sz="0" w:space="0" w:color="auto"/>
      </w:divBdr>
    </w:div>
    <w:div w:id="887306066">
      <w:marLeft w:val="0"/>
      <w:marRight w:val="0"/>
      <w:marTop w:val="0"/>
      <w:marBottom w:val="0"/>
      <w:divBdr>
        <w:top w:val="none" w:sz="0" w:space="0" w:color="auto"/>
        <w:left w:val="none" w:sz="0" w:space="0" w:color="auto"/>
        <w:bottom w:val="none" w:sz="0" w:space="0" w:color="auto"/>
        <w:right w:val="none" w:sz="0" w:space="0" w:color="auto"/>
      </w:divBdr>
    </w:div>
    <w:div w:id="887306067">
      <w:marLeft w:val="0"/>
      <w:marRight w:val="0"/>
      <w:marTop w:val="0"/>
      <w:marBottom w:val="0"/>
      <w:divBdr>
        <w:top w:val="none" w:sz="0" w:space="0" w:color="auto"/>
        <w:left w:val="none" w:sz="0" w:space="0" w:color="auto"/>
        <w:bottom w:val="none" w:sz="0" w:space="0" w:color="auto"/>
        <w:right w:val="none" w:sz="0" w:space="0" w:color="auto"/>
      </w:divBdr>
    </w:div>
    <w:div w:id="887306068">
      <w:marLeft w:val="0"/>
      <w:marRight w:val="0"/>
      <w:marTop w:val="0"/>
      <w:marBottom w:val="0"/>
      <w:divBdr>
        <w:top w:val="none" w:sz="0" w:space="0" w:color="auto"/>
        <w:left w:val="none" w:sz="0" w:space="0" w:color="auto"/>
        <w:bottom w:val="none" w:sz="0" w:space="0" w:color="auto"/>
        <w:right w:val="none" w:sz="0" w:space="0" w:color="auto"/>
      </w:divBdr>
    </w:div>
    <w:div w:id="887306069">
      <w:marLeft w:val="0"/>
      <w:marRight w:val="0"/>
      <w:marTop w:val="0"/>
      <w:marBottom w:val="0"/>
      <w:divBdr>
        <w:top w:val="none" w:sz="0" w:space="0" w:color="auto"/>
        <w:left w:val="none" w:sz="0" w:space="0" w:color="auto"/>
        <w:bottom w:val="none" w:sz="0" w:space="0" w:color="auto"/>
        <w:right w:val="none" w:sz="0" w:space="0" w:color="auto"/>
      </w:divBdr>
    </w:div>
    <w:div w:id="887306070">
      <w:marLeft w:val="0"/>
      <w:marRight w:val="0"/>
      <w:marTop w:val="0"/>
      <w:marBottom w:val="0"/>
      <w:divBdr>
        <w:top w:val="none" w:sz="0" w:space="0" w:color="auto"/>
        <w:left w:val="none" w:sz="0" w:space="0" w:color="auto"/>
        <w:bottom w:val="none" w:sz="0" w:space="0" w:color="auto"/>
        <w:right w:val="none" w:sz="0" w:space="0" w:color="auto"/>
      </w:divBdr>
    </w:div>
    <w:div w:id="8873060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dedfi@morc.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2100</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وزارة الخارجية</vt:lpstr>
    </vt:vector>
  </TitlesOfParts>
  <Company/>
  <LinksUpToDate>false</LinksUpToDate>
  <CharactersWithSpaces>2507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وزارة الخارجية</dc:title>
  <dc:subject/>
  <dc:creator>20071</dc:creator>
  <cp:keywords/>
  <dc:description/>
  <cp:lastModifiedBy>מרב אורבך</cp:lastModifiedBy>
  <cp:revision>2</cp:revision>
  <cp:lastPrinted>2011-08-17T04:28:00Z</cp:lastPrinted>
  <dcterms:created xsi:type="dcterms:W3CDTF">2017-10-17T06:47:00Z</dcterms:created>
  <dcterms:modified xsi:type="dcterms:W3CDTF">2017-10-17T06:47:00Z</dcterms:modified>
</cp:coreProperties>
</file>